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0D" w:rsidRDefault="00B4390D" w:rsidP="00B4390D">
      <w:pPr>
        <w:bidi/>
        <w:jc w:val="right"/>
        <w:rPr>
          <w:lang w:bidi="he-IL"/>
        </w:rPr>
      </w:pPr>
      <w:bookmarkStart w:id="0" w:name="_GoBack"/>
      <w:bookmarkEnd w:id="0"/>
      <w:r>
        <w:rPr>
          <w:rFonts w:hint="cs"/>
          <w:rtl/>
          <w:lang w:bidi="he-IL"/>
        </w:rPr>
        <w:t>‏</w:t>
      </w:r>
      <w:r>
        <w:rPr>
          <w:rtl/>
          <w:lang w:bidi="he-IL"/>
        </w:rPr>
        <w:t>18/11/2015</w:t>
      </w:r>
    </w:p>
    <w:p w:rsidR="00B4390D" w:rsidRDefault="00B4390D" w:rsidP="00B4390D">
      <w:pPr>
        <w:bidi/>
        <w:jc w:val="right"/>
        <w:rPr>
          <w:rtl/>
          <w:lang w:bidi="he-IL"/>
        </w:rPr>
      </w:pPr>
      <w:r>
        <w:rPr>
          <w:rFonts w:hint="cs"/>
          <w:rtl/>
          <w:lang w:bidi="he-IL"/>
        </w:rPr>
        <w:t>‏ו</w:t>
      </w:r>
      <w:r>
        <w:rPr>
          <w:rtl/>
          <w:lang w:bidi="he-IL"/>
        </w:rPr>
        <w:t xml:space="preserve">' </w:t>
      </w:r>
      <w:r>
        <w:rPr>
          <w:rFonts w:hint="cs"/>
          <w:rtl/>
          <w:lang w:bidi="he-IL"/>
        </w:rPr>
        <w:t>כסלו</w:t>
      </w:r>
      <w:r>
        <w:rPr>
          <w:rtl/>
          <w:lang w:bidi="he-IL"/>
        </w:rPr>
        <w:t xml:space="preserve"> </w:t>
      </w:r>
      <w:r>
        <w:rPr>
          <w:rFonts w:hint="cs"/>
          <w:rtl/>
          <w:lang w:bidi="he-IL"/>
        </w:rPr>
        <w:t>תשע</w:t>
      </w:r>
      <w:r>
        <w:rPr>
          <w:rtl/>
          <w:lang w:bidi="he-IL"/>
        </w:rPr>
        <w:t>"</w:t>
      </w:r>
      <w:r>
        <w:rPr>
          <w:rFonts w:hint="cs"/>
          <w:rtl/>
          <w:lang w:bidi="he-IL"/>
        </w:rPr>
        <w:t>ו</w:t>
      </w:r>
    </w:p>
    <w:p w:rsidR="00B4390D" w:rsidRDefault="00B4390D" w:rsidP="00B4390D">
      <w:pPr>
        <w:bidi/>
        <w:rPr>
          <w:rtl/>
          <w:lang w:bidi="he-IL"/>
        </w:rPr>
      </w:pPr>
    </w:p>
    <w:p w:rsidR="00B4390D" w:rsidRDefault="00B4390D" w:rsidP="00B4390D">
      <w:pPr>
        <w:bidi/>
        <w:spacing w:after="0"/>
        <w:rPr>
          <w:rFonts w:cs="David"/>
          <w:rtl/>
          <w:lang w:bidi="he-IL"/>
        </w:rPr>
      </w:pPr>
      <w:r w:rsidRPr="006B68F9">
        <w:rPr>
          <w:rFonts w:cs="David" w:hint="cs"/>
          <w:rtl/>
          <w:lang w:bidi="he-IL"/>
        </w:rPr>
        <w:t>לכבוד</w:t>
      </w:r>
    </w:p>
    <w:p w:rsidR="00B4390D" w:rsidRPr="00275369" w:rsidRDefault="00B4390D" w:rsidP="00B4390D">
      <w:pPr>
        <w:bidi/>
        <w:spacing w:before="120" w:after="120"/>
        <w:rPr>
          <w:rFonts w:cs="David"/>
          <w:u w:val="single"/>
          <w:rtl/>
          <w:lang w:bidi="he-IL"/>
        </w:rPr>
      </w:pPr>
      <w:r>
        <w:rPr>
          <w:rFonts w:cs="David" w:hint="cs"/>
          <w:rtl/>
          <w:lang w:bidi="he-IL"/>
        </w:rPr>
        <w:t>ציבור מזמיני הכיבודים</w:t>
      </w:r>
    </w:p>
    <w:p w:rsidR="00B4390D" w:rsidRDefault="00B4390D" w:rsidP="00B4390D">
      <w:pPr>
        <w:bidi/>
        <w:spacing w:line="276" w:lineRule="auto"/>
        <w:jc w:val="both"/>
        <w:rPr>
          <w:rFonts w:cs="David"/>
          <w:lang w:bidi="he-IL"/>
        </w:rPr>
      </w:pPr>
    </w:p>
    <w:p w:rsidR="00B4390D" w:rsidRDefault="00B4390D" w:rsidP="00B4390D">
      <w:pPr>
        <w:bidi/>
        <w:spacing w:line="276" w:lineRule="auto"/>
        <w:jc w:val="both"/>
        <w:rPr>
          <w:rFonts w:cs="David"/>
          <w:rtl/>
          <w:lang w:bidi="he-IL"/>
        </w:rPr>
      </w:pPr>
      <w:r>
        <w:rPr>
          <w:rFonts w:cs="David" w:hint="cs"/>
          <w:rtl/>
          <w:lang w:bidi="he-IL"/>
        </w:rPr>
        <w:t>שלום לכולם,</w:t>
      </w:r>
    </w:p>
    <w:p w:rsidR="00B4390D" w:rsidRDefault="00B4390D" w:rsidP="00B4390D">
      <w:pPr>
        <w:bidi/>
        <w:jc w:val="center"/>
        <w:rPr>
          <w:rFonts w:ascii="Arial" w:hAnsi="Arial" w:cs="David"/>
          <w:rtl/>
          <w:lang w:bidi="he-IL"/>
        </w:rPr>
      </w:pPr>
    </w:p>
    <w:p w:rsidR="00B4390D" w:rsidRPr="006B68F9" w:rsidRDefault="00B4390D" w:rsidP="00B4390D">
      <w:pPr>
        <w:bidi/>
        <w:jc w:val="center"/>
        <w:rPr>
          <w:rFonts w:ascii="Arial" w:hAnsi="Arial" w:cs="David"/>
          <w:lang w:bidi="he-IL"/>
        </w:rPr>
      </w:pPr>
      <w:r>
        <w:rPr>
          <w:rFonts w:ascii="Arial" w:hAnsi="Arial" w:cs="David" w:hint="cs"/>
          <w:rtl/>
          <w:lang w:bidi="he-IL"/>
        </w:rPr>
        <w:t xml:space="preserve">הנדון : </w:t>
      </w:r>
      <w:r w:rsidRPr="0012126E">
        <w:rPr>
          <w:rFonts w:ascii="Arial" w:hAnsi="Arial" w:cs="David" w:hint="cs"/>
          <w:b/>
          <w:bCs/>
          <w:u w:val="single"/>
          <w:rtl/>
          <w:lang w:bidi="he-IL"/>
        </w:rPr>
        <w:t>הנחיה</w:t>
      </w:r>
      <w:r w:rsidRPr="0012126E">
        <w:rPr>
          <w:rFonts w:ascii="Arial" w:hAnsi="Arial" w:cs="David"/>
          <w:b/>
          <w:bCs/>
          <w:u w:val="single"/>
          <w:rtl/>
          <w:lang w:bidi="he-IL"/>
        </w:rPr>
        <w:t xml:space="preserve"> </w:t>
      </w:r>
      <w:r w:rsidRPr="0012126E">
        <w:rPr>
          <w:rFonts w:ascii="Arial" w:hAnsi="Arial" w:cs="David" w:hint="cs"/>
          <w:b/>
          <w:bCs/>
          <w:u w:val="single"/>
          <w:rtl/>
          <w:lang w:bidi="he-IL"/>
        </w:rPr>
        <w:t>בנושא</w:t>
      </w:r>
      <w:r w:rsidRPr="0012126E">
        <w:rPr>
          <w:rFonts w:ascii="Arial" w:hAnsi="Arial" w:cs="David"/>
          <w:b/>
          <w:bCs/>
          <w:u w:val="single"/>
          <w:rtl/>
          <w:lang w:bidi="he-IL"/>
        </w:rPr>
        <w:t xml:space="preserve"> </w:t>
      </w:r>
      <w:r>
        <w:rPr>
          <w:rFonts w:ascii="Arial" w:hAnsi="Arial" w:cs="David" w:hint="cs"/>
          <w:b/>
          <w:bCs/>
          <w:u w:val="single"/>
          <w:rtl/>
          <w:lang w:bidi="he-IL"/>
        </w:rPr>
        <w:t>הזמנת כיבודים</w:t>
      </w:r>
    </w:p>
    <w:p w:rsidR="00B4390D" w:rsidRPr="00D00910" w:rsidRDefault="00B4390D" w:rsidP="00B4390D">
      <w:pPr>
        <w:bidi/>
        <w:jc w:val="both"/>
        <w:rPr>
          <w:rFonts w:ascii="Arial" w:hAnsi="Arial" w:cs="David"/>
          <w:u w:val="single"/>
          <w:rtl/>
          <w:lang w:bidi="he-IL"/>
        </w:rPr>
      </w:pPr>
      <w:r w:rsidRPr="00A70FB0">
        <w:rPr>
          <w:rFonts w:ascii="Arial" w:hAnsi="Arial" w:cs="David" w:hint="cs"/>
          <w:rtl/>
          <w:lang w:bidi="he-IL"/>
        </w:rPr>
        <w:t>בהתאם למחויב על פי דיני המכרזים עורך המכון מעת לעת מכרזים המיועדים לתת מענה לצרכי כלל המכון, על יחידותיו</w:t>
      </w:r>
      <w:r>
        <w:rPr>
          <w:rFonts w:ascii="Arial" w:hAnsi="Arial" w:cs="David" w:hint="cs"/>
          <w:rtl/>
          <w:lang w:bidi="he-IL"/>
        </w:rPr>
        <w:t>. במסגרת זו ערך המכון מכרז בנושא אספקת כיבודים ליחידותיו השונות. הספקים אשר הוכרזו כזוכים במכרז הם "</w:t>
      </w:r>
      <w:r w:rsidRPr="00D00910">
        <w:rPr>
          <w:rFonts w:ascii="Arial" w:hAnsi="Arial" w:cs="David" w:hint="cs"/>
          <w:u w:val="single"/>
          <w:rtl/>
          <w:lang w:bidi="he-IL"/>
        </w:rPr>
        <w:t xml:space="preserve">נעמה להב </w:t>
      </w:r>
      <w:proofErr w:type="spellStart"/>
      <w:r w:rsidRPr="00D00910">
        <w:rPr>
          <w:rFonts w:ascii="Arial" w:hAnsi="Arial" w:cs="David" w:hint="cs"/>
          <w:u w:val="single"/>
          <w:rtl/>
          <w:lang w:bidi="he-IL"/>
        </w:rPr>
        <w:t>בע</w:t>
      </w:r>
      <w:proofErr w:type="spellEnd"/>
      <w:r w:rsidRPr="00D00910">
        <w:rPr>
          <w:rFonts w:ascii="Arial" w:hAnsi="Arial" w:cs="David" w:hint="cs"/>
          <w:u w:val="single"/>
          <w:rtl/>
        </w:rPr>
        <w:t>"</w:t>
      </w:r>
      <w:r w:rsidRPr="00D00910">
        <w:rPr>
          <w:rFonts w:ascii="Arial" w:hAnsi="Arial" w:cs="David" w:hint="cs"/>
          <w:u w:val="single"/>
          <w:rtl/>
          <w:lang w:bidi="he-IL"/>
        </w:rPr>
        <w:t>מ (</w:t>
      </w:r>
      <w:proofErr w:type="spellStart"/>
      <w:r w:rsidRPr="00D00910">
        <w:rPr>
          <w:rFonts w:ascii="Arial" w:hAnsi="Arial" w:cs="David" w:hint="cs"/>
          <w:u w:val="single"/>
          <w:rtl/>
          <w:lang w:bidi="he-IL"/>
        </w:rPr>
        <w:t>רולדין</w:t>
      </w:r>
      <w:proofErr w:type="spellEnd"/>
      <w:r w:rsidRPr="00D00910">
        <w:rPr>
          <w:rFonts w:ascii="Arial" w:hAnsi="Arial" w:cs="David" w:hint="cs"/>
          <w:u w:val="single"/>
          <w:rtl/>
          <w:lang w:bidi="he-IL"/>
        </w:rPr>
        <w:t xml:space="preserve">)" ו"איכות קייטרינג </w:t>
      </w:r>
      <w:proofErr w:type="spellStart"/>
      <w:r w:rsidRPr="00D00910">
        <w:rPr>
          <w:rFonts w:ascii="Arial" w:hAnsi="Arial" w:cs="David" w:hint="cs"/>
          <w:u w:val="single"/>
          <w:rtl/>
          <w:lang w:bidi="he-IL"/>
        </w:rPr>
        <w:t>שולץ</w:t>
      </w:r>
      <w:proofErr w:type="spellEnd"/>
      <w:r w:rsidRPr="00D00910">
        <w:rPr>
          <w:rFonts w:ascii="Arial" w:hAnsi="Arial" w:cs="David" w:hint="cs"/>
          <w:u w:val="single"/>
          <w:rtl/>
          <w:lang w:bidi="he-IL"/>
        </w:rPr>
        <w:t xml:space="preserve"> 1997 </w:t>
      </w:r>
      <w:r w:rsidRPr="00D00910">
        <w:rPr>
          <w:rFonts w:ascii="Arial" w:hAnsi="Arial" w:cs="David" w:hint="cs"/>
          <w:u w:val="single"/>
          <w:rtl/>
        </w:rPr>
        <w:t xml:space="preserve"> </w:t>
      </w:r>
      <w:proofErr w:type="spellStart"/>
      <w:r w:rsidRPr="00D00910">
        <w:rPr>
          <w:rFonts w:ascii="Arial" w:hAnsi="Arial" w:cs="David" w:hint="cs"/>
          <w:u w:val="single"/>
          <w:rtl/>
          <w:lang w:bidi="he-IL"/>
        </w:rPr>
        <w:t>בע</w:t>
      </w:r>
      <w:proofErr w:type="spellEnd"/>
      <w:r w:rsidRPr="00D00910">
        <w:rPr>
          <w:rFonts w:ascii="Arial" w:hAnsi="Arial" w:cs="David" w:hint="cs"/>
          <w:u w:val="single"/>
          <w:rtl/>
        </w:rPr>
        <w:t>"</w:t>
      </w:r>
      <w:r w:rsidRPr="00D00910">
        <w:rPr>
          <w:rFonts w:ascii="Arial" w:hAnsi="Arial" w:cs="David" w:hint="cs"/>
          <w:u w:val="single"/>
          <w:rtl/>
          <w:lang w:bidi="he-IL"/>
        </w:rPr>
        <w:t>מ".</w:t>
      </w:r>
    </w:p>
    <w:p w:rsidR="00B4390D" w:rsidRDefault="00B4390D" w:rsidP="00526696">
      <w:pPr>
        <w:bidi/>
        <w:jc w:val="both"/>
        <w:rPr>
          <w:rFonts w:ascii="Arial" w:hAnsi="Arial" w:cs="David"/>
          <w:rtl/>
          <w:lang w:bidi="he-IL"/>
        </w:rPr>
      </w:pPr>
      <w:r>
        <w:rPr>
          <w:rFonts w:ascii="Arial" w:hAnsi="Arial" w:cs="David" w:hint="cs"/>
          <w:rtl/>
          <w:lang w:bidi="he-IL"/>
        </w:rPr>
        <w:t xml:space="preserve">כידוע לכולם, לאחר שנערך מכרז, הזמנת טובין/שירותים/עבודות מושא המכרז, אפשרית </w:t>
      </w:r>
      <w:r w:rsidRPr="00D00910">
        <w:rPr>
          <w:rFonts w:ascii="Arial" w:hAnsi="Arial" w:cs="David" w:hint="cs"/>
          <w:b/>
          <w:bCs/>
          <w:rtl/>
          <w:lang w:bidi="he-IL"/>
        </w:rPr>
        <w:t>מזוכי ה</w:t>
      </w:r>
      <w:r>
        <w:rPr>
          <w:rFonts w:ascii="Arial" w:hAnsi="Arial" w:cs="David" w:hint="cs"/>
          <w:b/>
          <w:bCs/>
          <w:rtl/>
          <w:lang w:bidi="he-IL"/>
        </w:rPr>
        <w:t>מ</w:t>
      </w:r>
      <w:r w:rsidRPr="00D00910">
        <w:rPr>
          <w:rFonts w:ascii="Arial" w:hAnsi="Arial" w:cs="David" w:hint="cs"/>
          <w:b/>
          <w:bCs/>
          <w:rtl/>
          <w:lang w:bidi="he-IL"/>
        </w:rPr>
        <w:t>כרז בלבד</w:t>
      </w:r>
      <w:r>
        <w:rPr>
          <w:rFonts w:ascii="Arial" w:hAnsi="Arial" w:cs="David" w:hint="cs"/>
          <w:rtl/>
          <w:lang w:bidi="he-IL"/>
        </w:rPr>
        <w:t xml:space="preserve">, למעט במקרים חריגים כמפורט </w:t>
      </w:r>
      <w:proofErr w:type="spellStart"/>
      <w:r>
        <w:rPr>
          <w:rFonts w:ascii="Arial" w:hAnsi="Arial" w:cs="David" w:hint="cs"/>
          <w:rtl/>
          <w:lang w:bidi="he-IL"/>
        </w:rPr>
        <w:t>במזכרה</w:t>
      </w:r>
      <w:proofErr w:type="spellEnd"/>
      <w:r>
        <w:rPr>
          <w:rFonts w:ascii="Arial" w:hAnsi="Arial" w:cs="David" w:hint="cs"/>
          <w:rtl/>
          <w:lang w:bidi="he-IL"/>
        </w:rPr>
        <w:t xml:space="preserve"> של סגן הנשיא למנהל וכספים מ  20.5.2015, כפי שעודכן בימים אלו (מצורף בזאת).</w:t>
      </w:r>
    </w:p>
    <w:p w:rsidR="00B4390D" w:rsidRDefault="00B4390D" w:rsidP="00950C7D">
      <w:pPr>
        <w:bidi/>
        <w:jc w:val="both"/>
        <w:rPr>
          <w:rFonts w:ascii="Arial" w:hAnsi="Arial" w:cs="David"/>
          <w:rtl/>
          <w:lang w:bidi="he-IL"/>
        </w:rPr>
      </w:pPr>
      <w:r>
        <w:rPr>
          <w:rFonts w:ascii="Arial" w:hAnsi="Arial" w:cs="David" w:hint="cs"/>
          <w:rtl/>
          <w:lang w:bidi="he-IL"/>
        </w:rPr>
        <w:t xml:space="preserve">למען הסר ספק אבקש להבהיר, כי כאשר המכון עורך מכרז ונבחרים זוכים, לא ניתן להזמין </w:t>
      </w:r>
      <w:r w:rsidR="00950C7D">
        <w:rPr>
          <w:rFonts w:ascii="Arial" w:hAnsi="Arial" w:cs="David" w:hint="cs"/>
          <w:rtl/>
          <w:lang w:bidi="he-IL"/>
        </w:rPr>
        <w:t xml:space="preserve">טובין/שירותים/עבודות </w:t>
      </w:r>
      <w:r>
        <w:rPr>
          <w:rFonts w:ascii="Arial" w:hAnsi="Arial" w:cs="David" w:hint="cs"/>
          <w:rtl/>
          <w:lang w:bidi="he-IL"/>
        </w:rPr>
        <w:t>מספקים אחרים, מלבד הזוכים , גם לא  בהתאם לפטור סכום הקבוע בתקנה 3(1) לתקנות חובת המכרזים (התקשרויות של מוסד להשכלה גבוהה), התש"ע-2010.</w:t>
      </w:r>
    </w:p>
    <w:p w:rsidR="00B4390D" w:rsidRPr="00A70FB0" w:rsidRDefault="00B4390D" w:rsidP="00B4390D">
      <w:pPr>
        <w:bidi/>
        <w:jc w:val="both"/>
        <w:rPr>
          <w:rFonts w:ascii="Arial" w:hAnsi="Arial" w:cs="David"/>
          <w:rtl/>
          <w:lang w:bidi="he-IL"/>
        </w:rPr>
      </w:pPr>
      <w:r w:rsidRPr="00A70FB0">
        <w:rPr>
          <w:rFonts w:ascii="Arial" w:hAnsi="Arial" w:cs="David" w:hint="cs"/>
          <w:rtl/>
          <w:lang w:bidi="he-IL"/>
        </w:rPr>
        <w:t>למרות ה</w:t>
      </w:r>
      <w:r>
        <w:rPr>
          <w:rFonts w:ascii="Arial" w:hAnsi="Arial" w:cs="David" w:hint="cs"/>
          <w:rtl/>
          <w:lang w:bidi="he-IL"/>
        </w:rPr>
        <w:t xml:space="preserve">נחיות אלו </w:t>
      </w:r>
      <w:r w:rsidRPr="00A70FB0">
        <w:rPr>
          <w:rFonts w:ascii="Arial" w:hAnsi="Arial" w:cs="David"/>
          <w:rtl/>
          <w:lang w:bidi="he-IL"/>
        </w:rPr>
        <w:t xml:space="preserve">אנו </w:t>
      </w:r>
      <w:r>
        <w:rPr>
          <w:rFonts w:ascii="Arial" w:hAnsi="Arial" w:cs="David" w:hint="cs"/>
          <w:rtl/>
          <w:lang w:bidi="he-IL"/>
        </w:rPr>
        <w:t>עדים</w:t>
      </w:r>
      <w:r w:rsidRPr="00A70FB0">
        <w:rPr>
          <w:rFonts w:ascii="Arial" w:hAnsi="Arial" w:cs="David"/>
          <w:rtl/>
          <w:lang w:bidi="he-IL"/>
        </w:rPr>
        <w:t xml:space="preserve"> </w:t>
      </w:r>
      <w:r>
        <w:rPr>
          <w:rFonts w:ascii="Arial" w:hAnsi="Arial" w:cs="David" w:hint="cs"/>
          <w:rtl/>
          <w:lang w:bidi="he-IL"/>
        </w:rPr>
        <w:t xml:space="preserve">לאחרונה </w:t>
      </w:r>
      <w:r w:rsidRPr="00A70FB0">
        <w:rPr>
          <w:rFonts w:ascii="Arial" w:hAnsi="Arial" w:cs="David"/>
          <w:rtl/>
          <w:lang w:bidi="he-IL"/>
        </w:rPr>
        <w:t xml:space="preserve">בלא מעט מקרים בהם </w:t>
      </w:r>
      <w:r>
        <w:rPr>
          <w:rFonts w:ascii="Arial" w:hAnsi="Arial" w:cs="David" w:hint="cs"/>
          <w:rtl/>
          <w:lang w:bidi="he-IL"/>
        </w:rPr>
        <w:t xml:space="preserve">מתבצעות </w:t>
      </w:r>
      <w:r w:rsidRPr="00A70FB0">
        <w:rPr>
          <w:rFonts w:ascii="Arial" w:hAnsi="Arial" w:cs="David"/>
          <w:rtl/>
          <w:lang w:bidi="he-IL"/>
        </w:rPr>
        <w:t xml:space="preserve"> הזמנות פרטניות של </w:t>
      </w:r>
      <w:r>
        <w:rPr>
          <w:rFonts w:ascii="Arial" w:hAnsi="Arial" w:cs="David" w:hint="cs"/>
          <w:rtl/>
          <w:lang w:bidi="he-IL"/>
        </w:rPr>
        <w:t xml:space="preserve">כיבודים </w:t>
      </w:r>
      <w:r w:rsidRPr="00A70FB0">
        <w:rPr>
          <w:rFonts w:ascii="Arial" w:hAnsi="Arial" w:cs="David"/>
          <w:rtl/>
          <w:lang w:bidi="he-IL"/>
        </w:rPr>
        <w:t>שלא מהזוכ</w:t>
      </w:r>
      <w:r>
        <w:rPr>
          <w:rFonts w:ascii="Arial" w:hAnsi="Arial" w:cs="David" w:hint="cs"/>
          <w:rtl/>
          <w:lang w:bidi="he-IL"/>
        </w:rPr>
        <w:t>ים</w:t>
      </w:r>
      <w:r w:rsidRPr="00A70FB0">
        <w:rPr>
          <w:rFonts w:ascii="Arial" w:hAnsi="Arial" w:cs="David"/>
          <w:rtl/>
          <w:lang w:bidi="he-IL"/>
        </w:rPr>
        <w:t xml:space="preserve"> במכרז</w:t>
      </w:r>
      <w:r>
        <w:rPr>
          <w:rFonts w:ascii="Arial" w:hAnsi="Arial" w:cs="David" w:hint="cs"/>
          <w:rtl/>
          <w:lang w:bidi="he-IL"/>
        </w:rPr>
        <w:t>.</w:t>
      </w:r>
    </w:p>
    <w:p w:rsidR="00B4390D" w:rsidRDefault="00B4390D" w:rsidP="00B4390D">
      <w:pPr>
        <w:bidi/>
        <w:jc w:val="both"/>
        <w:rPr>
          <w:rFonts w:ascii="Arial" w:hAnsi="Arial" w:cs="David"/>
          <w:rtl/>
          <w:lang w:bidi="he-IL"/>
        </w:rPr>
      </w:pPr>
      <w:r w:rsidRPr="00A70FB0">
        <w:rPr>
          <w:rFonts w:ascii="Arial" w:hAnsi="Arial" w:cs="David" w:hint="cs"/>
          <w:rtl/>
          <w:lang w:bidi="he-IL"/>
        </w:rPr>
        <w:t xml:space="preserve">התנהלות זו </w:t>
      </w:r>
      <w:r>
        <w:rPr>
          <w:rFonts w:ascii="Arial" w:hAnsi="Arial" w:cs="David" w:hint="cs"/>
          <w:rtl/>
          <w:lang w:bidi="he-IL"/>
        </w:rPr>
        <w:t>הינה בעייתית</w:t>
      </w:r>
      <w:r w:rsidRPr="00A70FB0">
        <w:rPr>
          <w:rFonts w:ascii="Arial" w:hAnsi="Arial" w:cs="David" w:hint="cs"/>
          <w:rtl/>
          <w:lang w:bidi="he-IL"/>
        </w:rPr>
        <w:t xml:space="preserve"> הן במישור </w:t>
      </w:r>
      <w:r w:rsidRPr="00A70FB0">
        <w:rPr>
          <w:rFonts w:ascii="Arial" w:hAnsi="Arial" w:cs="David"/>
          <w:rtl/>
          <w:lang w:bidi="he-IL"/>
        </w:rPr>
        <w:t>החוקי</w:t>
      </w:r>
      <w:r w:rsidRPr="00A70FB0">
        <w:rPr>
          <w:rFonts w:ascii="Arial" w:hAnsi="Arial" w:cs="David" w:hint="cs"/>
          <w:rtl/>
          <w:lang w:bidi="he-IL"/>
        </w:rPr>
        <w:t xml:space="preserve"> והן במישור היחסים מול </w:t>
      </w:r>
      <w:r>
        <w:rPr>
          <w:rFonts w:ascii="Arial" w:hAnsi="Arial" w:cs="David" w:hint="cs"/>
          <w:rtl/>
          <w:lang w:bidi="he-IL"/>
        </w:rPr>
        <w:t>ה</w:t>
      </w:r>
      <w:r w:rsidRPr="00A70FB0">
        <w:rPr>
          <w:rFonts w:ascii="Arial" w:hAnsi="Arial" w:cs="David" w:hint="cs"/>
          <w:rtl/>
          <w:lang w:bidi="he-IL"/>
        </w:rPr>
        <w:t>ספקים הזוכים במכרז</w:t>
      </w:r>
      <w:r>
        <w:rPr>
          <w:rFonts w:ascii="Arial" w:hAnsi="Arial" w:cs="David" w:hint="cs"/>
          <w:rtl/>
          <w:lang w:bidi="he-IL"/>
        </w:rPr>
        <w:t>, והיא בוודאי תפגע באטרקטיביות של המכרז הבא שהמכון יפרסם בנושא.</w:t>
      </w:r>
    </w:p>
    <w:p w:rsidR="00B4390D" w:rsidRDefault="00B4390D" w:rsidP="00B4390D">
      <w:pPr>
        <w:bidi/>
        <w:jc w:val="both"/>
        <w:rPr>
          <w:rFonts w:ascii="Arial" w:hAnsi="Arial" w:cs="David"/>
          <w:rtl/>
          <w:lang w:bidi="he-IL"/>
        </w:rPr>
      </w:pPr>
    </w:p>
    <w:p w:rsidR="00B4390D" w:rsidRDefault="00B4390D" w:rsidP="00B4390D">
      <w:pPr>
        <w:bidi/>
        <w:jc w:val="both"/>
        <w:rPr>
          <w:rFonts w:ascii="Arial" w:hAnsi="Arial" w:cs="David"/>
          <w:rtl/>
          <w:lang w:bidi="he-IL"/>
        </w:rPr>
      </w:pPr>
      <w:r>
        <w:rPr>
          <w:rFonts w:ascii="Arial" w:hAnsi="Arial" w:cs="David" w:hint="cs"/>
          <w:rtl/>
          <w:lang w:bidi="he-IL"/>
        </w:rPr>
        <w:t>לאור האמור</w:t>
      </w:r>
      <w:r w:rsidRPr="00A70FB0">
        <w:rPr>
          <w:rFonts w:ascii="Arial" w:hAnsi="Arial" w:cs="David" w:hint="cs"/>
          <w:rtl/>
          <w:lang w:bidi="he-IL"/>
        </w:rPr>
        <w:t xml:space="preserve"> אבקש לחדד את ההתנהלות ה</w:t>
      </w:r>
      <w:r>
        <w:rPr>
          <w:rFonts w:ascii="Arial" w:hAnsi="Arial" w:cs="David" w:hint="cs"/>
          <w:rtl/>
          <w:lang w:bidi="he-IL"/>
        </w:rPr>
        <w:t>מתחייבת במקרה של</w:t>
      </w:r>
      <w:r w:rsidRPr="00A70FB0">
        <w:rPr>
          <w:rFonts w:ascii="Arial" w:hAnsi="Arial" w:cs="David" w:hint="cs"/>
          <w:rtl/>
          <w:lang w:bidi="he-IL"/>
        </w:rPr>
        <w:t xml:space="preserve"> רכישת </w:t>
      </w:r>
      <w:r>
        <w:rPr>
          <w:rFonts w:ascii="Arial" w:hAnsi="Arial" w:cs="David" w:hint="cs"/>
          <w:rtl/>
          <w:lang w:bidi="he-IL"/>
        </w:rPr>
        <w:t>כיבודים</w:t>
      </w:r>
      <w:r w:rsidRPr="00A70FB0">
        <w:rPr>
          <w:rFonts w:ascii="Arial" w:hAnsi="Arial" w:cs="David" w:hint="cs"/>
          <w:rtl/>
          <w:lang w:bidi="he-IL"/>
        </w:rPr>
        <w:t xml:space="preserve"> </w:t>
      </w:r>
      <w:r>
        <w:rPr>
          <w:rFonts w:ascii="Arial" w:hAnsi="Arial" w:cs="David" w:hint="cs"/>
          <w:rtl/>
          <w:lang w:bidi="he-IL"/>
        </w:rPr>
        <w:t>ע"י היחידות השונות:</w:t>
      </w:r>
    </w:p>
    <w:p w:rsidR="00B4390D" w:rsidRDefault="00B4390D" w:rsidP="00B4390D">
      <w:pPr>
        <w:pStyle w:val="ListParagraph"/>
        <w:numPr>
          <w:ilvl w:val="0"/>
          <w:numId w:val="3"/>
        </w:numPr>
        <w:bidi/>
        <w:spacing w:line="276" w:lineRule="auto"/>
        <w:contextualSpacing/>
        <w:jc w:val="both"/>
        <w:rPr>
          <w:rFonts w:ascii="Arial" w:hAnsi="Arial" w:cs="David"/>
          <w:sz w:val="24"/>
          <w:szCs w:val="24"/>
        </w:rPr>
      </w:pPr>
      <w:r w:rsidRPr="00390406">
        <w:rPr>
          <w:rFonts w:ascii="Arial" w:hAnsi="Arial" w:cs="David" w:hint="cs"/>
          <w:sz w:val="24"/>
          <w:szCs w:val="24"/>
          <w:rtl/>
        </w:rPr>
        <w:t>הזמנת כיבודים</w:t>
      </w:r>
      <w:r>
        <w:rPr>
          <w:rFonts w:ascii="Arial" w:hAnsi="Arial" w:cs="David" w:hint="cs"/>
          <w:sz w:val="24"/>
          <w:szCs w:val="24"/>
          <w:rtl/>
        </w:rPr>
        <w:t xml:space="preserve"> תבוצע מהספקים הזוכים במכרז המפורטים לעיל או ממפעילי המסעדות במכון בלבד, בהתאם לתנאים המפורטים באתר המסעדות של המכון בכתובת: </w:t>
      </w:r>
      <w:hyperlink r:id="rId9" w:history="1">
        <w:r w:rsidRPr="00497C7B">
          <w:rPr>
            <w:rStyle w:val="Hyperlink"/>
            <w:rFonts w:ascii="Arial" w:hAnsi="Arial" w:cs="David"/>
            <w:sz w:val="24"/>
            <w:szCs w:val="24"/>
          </w:rPr>
          <w:t>http://www.weizmann.ac.il/food/he/node/6151</w:t>
        </w:r>
      </w:hyperlink>
      <w:r>
        <w:rPr>
          <w:rFonts w:ascii="Arial" w:hAnsi="Arial" w:cs="David" w:hint="cs"/>
          <w:sz w:val="24"/>
          <w:szCs w:val="24"/>
          <w:rtl/>
        </w:rPr>
        <w:t xml:space="preserve"> . </w:t>
      </w: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bidi/>
        <w:jc w:val="both"/>
        <w:rPr>
          <w:rFonts w:ascii="Arial" w:hAnsi="Arial" w:cs="David"/>
          <w:sz w:val="24"/>
          <w:szCs w:val="24"/>
          <w:rtl/>
        </w:rPr>
      </w:pPr>
    </w:p>
    <w:p w:rsidR="00B4390D" w:rsidRDefault="00B4390D" w:rsidP="00B4390D">
      <w:pPr>
        <w:pStyle w:val="ListParagraph"/>
        <w:numPr>
          <w:ilvl w:val="0"/>
          <w:numId w:val="3"/>
        </w:numPr>
        <w:bidi/>
        <w:spacing w:line="276" w:lineRule="auto"/>
        <w:contextualSpacing/>
        <w:jc w:val="both"/>
        <w:rPr>
          <w:rFonts w:ascii="Arial" w:hAnsi="Arial" w:cs="David"/>
          <w:sz w:val="24"/>
          <w:szCs w:val="24"/>
        </w:rPr>
      </w:pPr>
      <w:r>
        <w:rPr>
          <w:rFonts w:ascii="Arial" w:hAnsi="Arial" w:cs="David" w:hint="cs"/>
          <w:sz w:val="24"/>
          <w:szCs w:val="24"/>
          <w:rtl/>
        </w:rPr>
        <w:t xml:space="preserve">חריגה מהאמור לעיל תתאפשר רק במקרים שלהלן </w:t>
      </w:r>
      <w:r w:rsidRPr="006E77D2">
        <w:rPr>
          <w:rFonts w:ascii="Arial" w:hAnsi="Arial" w:cs="David" w:hint="cs"/>
          <w:b/>
          <w:bCs/>
          <w:sz w:val="24"/>
          <w:szCs w:val="24"/>
          <w:rtl/>
        </w:rPr>
        <w:t>ובאישורו</w:t>
      </w:r>
      <w:r>
        <w:rPr>
          <w:rFonts w:ascii="Arial" w:hAnsi="Arial" w:cs="David" w:hint="cs"/>
          <w:sz w:val="24"/>
          <w:szCs w:val="24"/>
          <w:rtl/>
        </w:rPr>
        <w:t xml:space="preserve"> מראש של </w:t>
      </w:r>
      <w:proofErr w:type="spellStart"/>
      <w:r>
        <w:rPr>
          <w:rFonts w:ascii="Arial" w:hAnsi="Arial" w:cs="David" w:hint="cs"/>
          <w:sz w:val="24"/>
          <w:szCs w:val="24"/>
          <w:rtl/>
        </w:rPr>
        <w:t>החת"מ</w:t>
      </w:r>
      <w:proofErr w:type="spellEnd"/>
      <w:r>
        <w:rPr>
          <w:rFonts w:ascii="Arial" w:hAnsi="Arial" w:cs="David" w:hint="cs"/>
          <w:sz w:val="24"/>
          <w:szCs w:val="24"/>
          <w:rtl/>
        </w:rPr>
        <w:t xml:space="preserve"> כדלקמן:</w:t>
      </w:r>
    </w:p>
    <w:p w:rsidR="00B4390D" w:rsidRDefault="00B4390D" w:rsidP="00B4390D">
      <w:pPr>
        <w:pStyle w:val="ListParagraph"/>
        <w:rPr>
          <w:rFonts w:ascii="Arial" w:hAnsi="Arial" w:cs="David"/>
          <w:sz w:val="24"/>
          <w:szCs w:val="24"/>
          <w:rtl/>
        </w:rPr>
      </w:pPr>
    </w:p>
    <w:p w:rsidR="00B4390D" w:rsidRDefault="00B4390D" w:rsidP="00B4390D">
      <w:pPr>
        <w:pStyle w:val="ListParagraph"/>
        <w:numPr>
          <w:ilvl w:val="1"/>
          <w:numId w:val="3"/>
        </w:numPr>
        <w:bidi/>
        <w:spacing w:line="276" w:lineRule="auto"/>
        <w:contextualSpacing/>
        <w:jc w:val="both"/>
        <w:rPr>
          <w:rFonts w:ascii="Arial" w:hAnsi="Arial" w:cs="David"/>
          <w:sz w:val="24"/>
          <w:szCs w:val="24"/>
        </w:rPr>
      </w:pPr>
      <w:r w:rsidRPr="00F45C1C">
        <w:rPr>
          <w:rFonts w:ascii="Arial" w:hAnsi="Arial" w:cs="David" w:hint="cs"/>
          <w:b/>
          <w:bCs/>
          <w:sz w:val="24"/>
          <w:szCs w:val="24"/>
          <w:rtl/>
        </w:rPr>
        <w:t xml:space="preserve">רכישה של </w:t>
      </w:r>
      <w:r>
        <w:rPr>
          <w:rFonts w:ascii="Arial" w:hAnsi="Arial" w:cs="David" w:hint="cs"/>
          <w:b/>
          <w:bCs/>
          <w:sz w:val="24"/>
          <w:szCs w:val="24"/>
          <w:rtl/>
        </w:rPr>
        <w:t>כיבודים</w:t>
      </w:r>
      <w:r w:rsidRPr="00F45C1C">
        <w:rPr>
          <w:rFonts w:ascii="Arial" w:hAnsi="Arial" w:cs="David" w:hint="cs"/>
          <w:b/>
          <w:bCs/>
          <w:sz w:val="24"/>
          <w:szCs w:val="24"/>
          <w:rtl/>
        </w:rPr>
        <w:t xml:space="preserve"> אשר לא נכללו במכרז</w:t>
      </w:r>
      <w:r>
        <w:rPr>
          <w:rFonts w:ascii="Arial" w:hAnsi="Arial" w:cs="David" w:hint="cs"/>
          <w:sz w:val="24"/>
          <w:szCs w:val="24"/>
          <w:rtl/>
        </w:rPr>
        <w:t xml:space="preserve">. למען הסר ספק, מודגש כי במקרה בו כלולים במכרז כיבודים </w:t>
      </w:r>
      <w:r w:rsidRPr="00985146">
        <w:rPr>
          <w:rFonts w:ascii="Arial" w:hAnsi="Arial" w:cs="David" w:hint="cs"/>
          <w:b/>
          <w:bCs/>
          <w:sz w:val="24"/>
          <w:szCs w:val="24"/>
          <w:rtl/>
        </w:rPr>
        <w:t>דומים</w:t>
      </w:r>
      <w:r>
        <w:rPr>
          <w:rFonts w:ascii="Arial" w:hAnsi="Arial" w:cs="David" w:hint="cs"/>
          <w:sz w:val="24"/>
          <w:szCs w:val="24"/>
          <w:rtl/>
        </w:rPr>
        <w:t xml:space="preserve"> לנדרש, יש להזמינם מהזוכה במכרז ולא ניתן להזמינם מספק שלא זכה במכרז. רק במקרה בו מדובר בכיבודים אשר </w:t>
      </w:r>
      <w:r w:rsidRPr="008B3DF2">
        <w:rPr>
          <w:rFonts w:ascii="Arial" w:hAnsi="Arial" w:cs="David" w:hint="cs"/>
          <w:b/>
          <w:bCs/>
          <w:sz w:val="24"/>
          <w:szCs w:val="24"/>
          <w:rtl/>
        </w:rPr>
        <w:t>אינם</w:t>
      </w:r>
      <w:r>
        <w:rPr>
          <w:rFonts w:ascii="Arial" w:hAnsi="Arial" w:cs="David" w:hint="cs"/>
          <w:sz w:val="24"/>
          <w:szCs w:val="24"/>
          <w:rtl/>
        </w:rPr>
        <w:t xml:space="preserve"> כלולים </w:t>
      </w:r>
      <w:r w:rsidRPr="00F45C1C">
        <w:rPr>
          <w:rFonts w:ascii="Arial" w:hAnsi="Arial" w:cs="David" w:hint="cs"/>
          <w:b/>
          <w:bCs/>
          <w:sz w:val="24"/>
          <w:szCs w:val="24"/>
          <w:rtl/>
        </w:rPr>
        <w:t>כלל</w:t>
      </w:r>
      <w:r>
        <w:rPr>
          <w:rFonts w:ascii="Arial" w:hAnsi="Arial" w:cs="David" w:hint="cs"/>
          <w:sz w:val="24"/>
          <w:szCs w:val="24"/>
          <w:rtl/>
        </w:rPr>
        <w:t xml:space="preserve"> במכרז, ניתן להזמינם מספק שלא זכה במכרז. </w:t>
      </w:r>
      <w:r w:rsidRPr="00F45C1C">
        <w:rPr>
          <w:rFonts w:ascii="Arial" w:hAnsi="Arial" w:cs="David" w:hint="cs"/>
          <w:b/>
          <w:bCs/>
          <w:sz w:val="24"/>
          <w:szCs w:val="24"/>
          <w:rtl/>
        </w:rPr>
        <w:t>לדוגמה</w:t>
      </w:r>
      <w:r>
        <w:rPr>
          <w:rFonts w:ascii="Arial" w:hAnsi="Arial" w:cs="David" w:hint="cs"/>
          <w:sz w:val="24"/>
          <w:szCs w:val="24"/>
          <w:rtl/>
        </w:rPr>
        <w:t>: מגשים של ירקות או פירות או כריכים יש להזמין בכל מקרה מזוכה במכרז, גם אם סוגי הכריכים או אופן הגשתם שונה. ניתן להזמין מספק שלא זכה במכרז כיבוד כגון פלאפל, אשר לא נכלל כלל במכרז. מודגש כי במקרה בו הכיבודים אינם כלולים במכרז, יש לפנות קודם אל הספקים הזוכים ולברר מולם האם יוכלו לספק את הכיבוד הנדרש.</w:t>
      </w:r>
    </w:p>
    <w:p w:rsidR="00B4390D" w:rsidRDefault="00B4390D" w:rsidP="00B4390D">
      <w:pPr>
        <w:pStyle w:val="ListParagraph"/>
        <w:bidi/>
        <w:ind w:left="792"/>
        <w:jc w:val="both"/>
        <w:rPr>
          <w:rFonts w:ascii="Arial" w:hAnsi="Arial" w:cs="David"/>
          <w:sz w:val="24"/>
          <w:szCs w:val="24"/>
        </w:rPr>
      </w:pPr>
    </w:p>
    <w:p w:rsidR="00B4390D" w:rsidRDefault="00B4390D" w:rsidP="00B4390D">
      <w:pPr>
        <w:pStyle w:val="ListParagraph"/>
        <w:bidi/>
        <w:ind w:left="792" w:hanging="412"/>
        <w:jc w:val="both"/>
        <w:rPr>
          <w:rFonts w:ascii="Arial" w:hAnsi="Arial" w:cs="David"/>
          <w:b/>
          <w:bCs/>
          <w:sz w:val="24"/>
          <w:szCs w:val="24"/>
          <w:rtl/>
        </w:rPr>
      </w:pPr>
      <w:r w:rsidRPr="003D7119">
        <w:rPr>
          <w:rFonts w:ascii="Arial" w:hAnsi="Arial" w:cs="David" w:hint="cs"/>
          <w:sz w:val="24"/>
          <w:szCs w:val="24"/>
          <w:rtl/>
        </w:rPr>
        <w:t>2.2</w:t>
      </w:r>
      <w:r>
        <w:rPr>
          <w:rFonts w:ascii="Arial" w:hAnsi="Arial" w:cs="David" w:hint="cs"/>
          <w:b/>
          <w:bCs/>
          <w:sz w:val="24"/>
          <w:szCs w:val="24"/>
          <w:rtl/>
        </w:rPr>
        <w:tab/>
      </w:r>
      <w:r w:rsidRPr="003D7119">
        <w:rPr>
          <w:rFonts w:ascii="Arial" w:hAnsi="Arial" w:cs="David" w:hint="cs"/>
          <w:b/>
          <w:bCs/>
          <w:sz w:val="24"/>
          <w:szCs w:val="24"/>
          <w:rtl/>
        </w:rPr>
        <w:t>מחיר</w:t>
      </w:r>
      <w:r w:rsidRPr="003D7119">
        <w:rPr>
          <w:rFonts w:ascii="Arial" w:hAnsi="Arial" w:cs="David"/>
          <w:b/>
          <w:bCs/>
          <w:sz w:val="24"/>
          <w:szCs w:val="24"/>
          <w:rtl/>
        </w:rPr>
        <w:t xml:space="preserve"> </w:t>
      </w:r>
      <w:r w:rsidRPr="003D7119">
        <w:rPr>
          <w:rFonts w:ascii="Arial" w:hAnsi="Arial" w:cs="David" w:hint="cs"/>
          <w:b/>
          <w:bCs/>
          <w:sz w:val="24"/>
          <w:szCs w:val="24"/>
          <w:rtl/>
        </w:rPr>
        <w:t>הספק</w:t>
      </w:r>
      <w:r w:rsidRPr="003D7119">
        <w:rPr>
          <w:rFonts w:ascii="Arial" w:hAnsi="Arial" w:cs="David"/>
          <w:b/>
          <w:bCs/>
          <w:sz w:val="24"/>
          <w:szCs w:val="24"/>
          <w:rtl/>
        </w:rPr>
        <w:t xml:space="preserve"> </w:t>
      </w:r>
      <w:r w:rsidRPr="003D7119">
        <w:rPr>
          <w:rFonts w:ascii="Arial" w:hAnsi="Arial" w:cs="David" w:hint="cs"/>
          <w:b/>
          <w:bCs/>
          <w:sz w:val="24"/>
          <w:szCs w:val="24"/>
          <w:rtl/>
        </w:rPr>
        <w:t>האלטרנטיבי</w:t>
      </w:r>
      <w:r w:rsidRPr="003D7119">
        <w:rPr>
          <w:rFonts w:ascii="Arial" w:hAnsi="Arial" w:cs="David"/>
          <w:b/>
          <w:bCs/>
          <w:sz w:val="24"/>
          <w:szCs w:val="24"/>
          <w:rtl/>
        </w:rPr>
        <w:t xml:space="preserve"> </w:t>
      </w:r>
      <w:r w:rsidRPr="003D7119">
        <w:rPr>
          <w:rFonts w:ascii="Arial" w:hAnsi="Arial" w:cs="David" w:hint="cs"/>
          <w:b/>
          <w:bCs/>
          <w:sz w:val="24"/>
          <w:szCs w:val="24"/>
          <w:rtl/>
        </w:rPr>
        <w:t>עבור הזמנה מסוימת של כיבודים נמוך</w:t>
      </w:r>
      <w:r w:rsidRPr="003D7119">
        <w:rPr>
          <w:rFonts w:ascii="Arial" w:hAnsi="Arial" w:cs="David"/>
          <w:b/>
          <w:bCs/>
          <w:sz w:val="24"/>
          <w:szCs w:val="24"/>
          <w:rtl/>
        </w:rPr>
        <w:t xml:space="preserve"> </w:t>
      </w:r>
      <w:r w:rsidRPr="003D7119">
        <w:rPr>
          <w:rFonts w:ascii="Arial" w:hAnsi="Arial" w:cs="David" w:hint="cs"/>
          <w:b/>
          <w:bCs/>
          <w:sz w:val="24"/>
          <w:szCs w:val="24"/>
          <w:rtl/>
        </w:rPr>
        <w:t>ב</w:t>
      </w:r>
      <w:r w:rsidRPr="003D7119">
        <w:rPr>
          <w:rFonts w:ascii="Arial" w:hAnsi="Arial" w:cs="David"/>
          <w:b/>
          <w:bCs/>
          <w:sz w:val="24"/>
          <w:szCs w:val="24"/>
          <w:rtl/>
        </w:rPr>
        <w:t xml:space="preserve">-15% </w:t>
      </w:r>
      <w:r w:rsidRPr="003D7119">
        <w:rPr>
          <w:rFonts w:ascii="Arial" w:hAnsi="Arial" w:cs="David" w:hint="cs"/>
          <w:b/>
          <w:bCs/>
          <w:sz w:val="24"/>
          <w:szCs w:val="24"/>
          <w:rtl/>
        </w:rPr>
        <w:t>ומעלה</w:t>
      </w:r>
      <w:r w:rsidRPr="003D7119">
        <w:rPr>
          <w:rFonts w:ascii="Arial" w:hAnsi="Arial" w:cs="David"/>
          <w:b/>
          <w:bCs/>
          <w:sz w:val="24"/>
          <w:szCs w:val="24"/>
          <w:rtl/>
        </w:rPr>
        <w:t xml:space="preserve"> </w:t>
      </w:r>
      <w:r w:rsidRPr="003D7119">
        <w:rPr>
          <w:rFonts w:ascii="Arial" w:hAnsi="Arial" w:cs="David" w:hint="cs"/>
          <w:b/>
          <w:bCs/>
          <w:sz w:val="24"/>
          <w:szCs w:val="24"/>
          <w:rtl/>
        </w:rPr>
        <w:t>ממחיר</w:t>
      </w:r>
      <w:r w:rsidRPr="003D7119">
        <w:rPr>
          <w:rFonts w:ascii="Arial" w:hAnsi="Arial" w:cs="David"/>
          <w:b/>
          <w:bCs/>
          <w:sz w:val="24"/>
          <w:szCs w:val="24"/>
          <w:rtl/>
        </w:rPr>
        <w:t xml:space="preserve"> </w:t>
      </w:r>
      <w:r w:rsidRPr="003D7119">
        <w:rPr>
          <w:rFonts w:ascii="Arial" w:hAnsi="Arial" w:cs="David" w:hint="cs"/>
          <w:b/>
          <w:bCs/>
          <w:sz w:val="24"/>
          <w:szCs w:val="24"/>
          <w:rtl/>
        </w:rPr>
        <w:t>המכרז</w:t>
      </w:r>
      <w:r w:rsidRPr="003D7119">
        <w:rPr>
          <w:rFonts w:ascii="Arial" w:hAnsi="Arial" w:cs="David"/>
          <w:b/>
          <w:bCs/>
          <w:sz w:val="24"/>
          <w:szCs w:val="24"/>
          <w:rtl/>
        </w:rPr>
        <w:t xml:space="preserve"> </w:t>
      </w:r>
      <w:r w:rsidRPr="003D7119">
        <w:rPr>
          <w:rFonts w:ascii="Arial" w:hAnsi="Arial" w:cs="David" w:hint="cs"/>
          <w:b/>
          <w:bCs/>
          <w:sz w:val="24"/>
          <w:szCs w:val="24"/>
          <w:rtl/>
        </w:rPr>
        <w:t>עבור הכיבודים המדוברים</w:t>
      </w:r>
      <w:r w:rsidRPr="003D7119">
        <w:rPr>
          <w:rFonts w:ascii="Arial" w:hAnsi="Arial" w:cs="David" w:hint="cs"/>
          <w:sz w:val="24"/>
          <w:szCs w:val="24"/>
          <w:rtl/>
        </w:rPr>
        <w:t xml:space="preserve">. במקרה כזה, יש לפנות לזוכה במכרז ולאפשר לו להשוות את המחיר עבור הזמנה זו להצעת הספק האלטרנטיבי. </w:t>
      </w:r>
      <w:r w:rsidRPr="003D7119">
        <w:rPr>
          <w:rFonts w:ascii="Arial" w:hAnsi="Arial" w:cs="David" w:hint="cs"/>
          <w:b/>
          <w:bCs/>
          <w:sz w:val="24"/>
          <w:szCs w:val="24"/>
          <w:rtl/>
        </w:rPr>
        <w:t xml:space="preserve">רק אם הזוכה במכרז אינו נענה להצעה </w:t>
      </w:r>
      <w:r w:rsidRPr="003D7119">
        <w:rPr>
          <w:rFonts w:ascii="Arial" w:hAnsi="Arial" w:cs="David" w:hint="cs"/>
          <w:sz w:val="24"/>
          <w:szCs w:val="24"/>
          <w:rtl/>
        </w:rPr>
        <w:t>(דהיינו, אינו משווה את המחיר להצעת הספק האלטרנטיבי),</w:t>
      </w:r>
      <w:r w:rsidRPr="003D7119">
        <w:rPr>
          <w:rFonts w:ascii="Arial" w:hAnsi="Arial" w:cs="David" w:hint="cs"/>
          <w:b/>
          <w:bCs/>
          <w:sz w:val="24"/>
          <w:szCs w:val="24"/>
          <w:rtl/>
        </w:rPr>
        <w:t xml:space="preserve"> ניתן לרכוש את הכיבודים על פי אותה הזמנה מהספק האלטרנטיבי. </w:t>
      </w:r>
    </w:p>
    <w:p w:rsidR="00B4390D" w:rsidRPr="003D7119" w:rsidRDefault="00B4390D" w:rsidP="00B4390D">
      <w:pPr>
        <w:pStyle w:val="ListParagraph"/>
        <w:bidi/>
        <w:ind w:left="792"/>
        <w:jc w:val="both"/>
        <w:rPr>
          <w:rFonts w:ascii="Arial" w:hAnsi="Arial" w:cs="David"/>
          <w:sz w:val="24"/>
          <w:szCs w:val="24"/>
          <w:rtl/>
        </w:rPr>
      </w:pPr>
    </w:p>
    <w:p w:rsidR="00B4390D" w:rsidRDefault="00B4390D" w:rsidP="00B4390D">
      <w:pPr>
        <w:pStyle w:val="ListParagraph"/>
        <w:numPr>
          <w:ilvl w:val="0"/>
          <w:numId w:val="3"/>
        </w:numPr>
        <w:bidi/>
        <w:spacing w:line="276" w:lineRule="auto"/>
        <w:contextualSpacing/>
        <w:jc w:val="both"/>
        <w:rPr>
          <w:rFonts w:ascii="Arial" w:hAnsi="Arial" w:cs="David"/>
          <w:sz w:val="24"/>
          <w:szCs w:val="24"/>
        </w:rPr>
      </w:pPr>
      <w:r>
        <w:rPr>
          <w:rFonts w:ascii="Arial" w:hAnsi="Arial" w:cs="David" w:hint="cs"/>
          <w:sz w:val="24"/>
          <w:szCs w:val="24"/>
          <w:rtl/>
        </w:rPr>
        <w:t xml:space="preserve">מודגש בזאת כי הוראות הנחיה זו לעיל כפופות לאמור בתקנה 3(1) לתקנות חובת המכרזים (התקשרויות של מוסד להשכלה גבוהה), תש"ע </w:t>
      </w:r>
      <w:r>
        <w:rPr>
          <w:rFonts w:ascii="Arial" w:hAnsi="Arial" w:cs="David"/>
          <w:sz w:val="24"/>
          <w:szCs w:val="24"/>
          <w:rtl/>
        </w:rPr>
        <w:t>–</w:t>
      </w:r>
      <w:r>
        <w:rPr>
          <w:rFonts w:ascii="Arial" w:hAnsi="Arial" w:cs="David" w:hint="cs"/>
          <w:sz w:val="24"/>
          <w:szCs w:val="24"/>
          <w:rtl/>
        </w:rPr>
        <w:t xml:space="preserve"> 2010 ולמגבלות המפורטות בה, לרבות בכל הנוגע לסכומים הנקובים בה.</w:t>
      </w:r>
    </w:p>
    <w:p w:rsidR="00B4390D" w:rsidRPr="00D43B50" w:rsidRDefault="00B4390D" w:rsidP="00B4390D">
      <w:pPr>
        <w:pStyle w:val="ListParagraph"/>
        <w:bidi/>
        <w:ind w:left="360"/>
        <w:jc w:val="both"/>
        <w:rPr>
          <w:rFonts w:ascii="Arial" w:hAnsi="Arial" w:cs="David"/>
          <w:sz w:val="24"/>
          <w:szCs w:val="24"/>
          <w:rtl/>
        </w:rPr>
      </w:pPr>
    </w:p>
    <w:p w:rsidR="00B4390D" w:rsidRDefault="00B4390D" w:rsidP="00B4390D">
      <w:pPr>
        <w:bidi/>
        <w:jc w:val="center"/>
        <w:rPr>
          <w:rFonts w:cs="David"/>
          <w:rtl/>
          <w:lang w:bidi="he-IL"/>
        </w:rPr>
      </w:pPr>
    </w:p>
    <w:p w:rsidR="00B4390D" w:rsidRPr="00DE0D0C" w:rsidRDefault="00B4390D" w:rsidP="003D1EE6">
      <w:pPr>
        <w:bidi/>
        <w:ind w:left="4320"/>
        <w:jc w:val="center"/>
        <w:rPr>
          <w:rFonts w:cs="David"/>
          <w:rtl/>
          <w:lang w:bidi="he-IL"/>
        </w:rPr>
      </w:pPr>
      <w:r w:rsidRPr="00DE0D0C">
        <w:rPr>
          <w:rFonts w:cs="David" w:hint="cs"/>
          <w:rtl/>
          <w:lang w:bidi="he-IL"/>
        </w:rPr>
        <w:t>בברכה,</w:t>
      </w:r>
    </w:p>
    <w:p w:rsidR="00B4390D" w:rsidRPr="00DE0D0C" w:rsidRDefault="00B4390D" w:rsidP="003D1EE6">
      <w:pPr>
        <w:bidi/>
        <w:ind w:left="4320"/>
        <w:jc w:val="center"/>
        <w:rPr>
          <w:rFonts w:cs="David"/>
          <w:rtl/>
          <w:lang w:bidi="he-IL"/>
        </w:rPr>
      </w:pPr>
      <w:r>
        <w:rPr>
          <w:rFonts w:cs="David" w:hint="cs"/>
          <w:rtl/>
          <w:lang w:bidi="he-IL"/>
        </w:rPr>
        <w:t>נתן שטרק</w:t>
      </w:r>
    </w:p>
    <w:p w:rsidR="00B4390D" w:rsidRPr="00DE0D0C" w:rsidRDefault="00B4390D" w:rsidP="003D1EE6">
      <w:pPr>
        <w:bidi/>
        <w:ind w:left="4320"/>
        <w:jc w:val="center"/>
        <w:rPr>
          <w:rFonts w:cs="David"/>
          <w:rtl/>
          <w:lang w:bidi="he-IL"/>
        </w:rPr>
      </w:pPr>
      <w:r>
        <w:rPr>
          <w:rFonts w:cs="David" w:hint="cs"/>
          <w:rtl/>
          <w:lang w:bidi="he-IL"/>
        </w:rPr>
        <w:t>ראש אגף הרכש</w:t>
      </w:r>
    </w:p>
    <w:p w:rsidR="00B4390D" w:rsidRDefault="00B4390D" w:rsidP="00F71247">
      <w:pPr>
        <w:bidi/>
        <w:jc w:val="both"/>
        <w:rPr>
          <w:rFonts w:ascii="Arial" w:hAnsi="Arial" w:cs="David"/>
          <w:rtl/>
          <w:lang w:bidi="he-IL"/>
        </w:rPr>
      </w:pPr>
      <w:r w:rsidRPr="00275369">
        <w:rPr>
          <w:rFonts w:ascii="Arial" w:hAnsi="Arial" w:cs="David" w:hint="cs"/>
          <w:rtl/>
          <w:lang w:bidi="he-IL"/>
        </w:rPr>
        <w:t>העתקים:</w:t>
      </w:r>
    </w:p>
    <w:p w:rsidR="00B4390D" w:rsidRDefault="00B4390D" w:rsidP="00F71247">
      <w:pPr>
        <w:bidi/>
        <w:jc w:val="both"/>
        <w:rPr>
          <w:rFonts w:ascii="Arial" w:hAnsi="Arial" w:cs="David"/>
          <w:rtl/>
          <w:lang w:bidi="he-IL"/>
        </w:rPr>
      </w:pPr>
      <w:r>
        <w:rPr>
          <w:rFonts w:ascii="Arial" w:hAnsi="Arial" w:cs="David" w:hint="cs"/>
          <w:rtl/>
          <w:lang w:bidi="he-IL"/>
        </w:rPr>
        <w:t>סגן הנשיא למנהל וכספים</w:t>
      </w:r>
    </w:p>
    <w:p w:rsidR="00B4390D" w:rsidRDefault="00B4390D" w:rsidP="00F71247">
      <w:pPr>
        <w:bidi/>
        <w:jc w:val="both"/>
        <w:rPr>
          <w:rFonts w:ascii="Arial" w:hAnsi="Arial" w:cs="David"/>
          <w:rtl/>
          <w:lang w:bidi="he-IL"/>
        </w:rPr>
      </w:pPr>
      <w:r>
        <w:rPr>
          <w:rFonts w:ascii="Arial" w:hAnsi="Arial" w:cs="David" w:hint="cs"/>
          <w:rtl/>
          <w:lang w:bidi="he-IL"/>
        </w:rPr>
        <w:t>ראשי אגפים</w:t>
      </w:r>
    </w:p>
    <w:p w:rsidR="00B4390D" w:rsidRDefault="00B4390D" w:rsidP="00F71247">
      <w:pPr>
        <w:bidi/>
        <w:jc w:val="both"/>
        <w:rPr>
          <w:rFonts w:ascii="Arial" w:hAnsi="Arial" w:cs="David"/>
          <w:rtl/>
          <w:lang w:bidi="he-IL"/>
        </w:rPr>
      </w:pPr>
      <w:r>
        <w:rPr>
          <w:rFonts w:ascii="Arial" w:hAnsi="Arial" w:cs="David" w:hint="cs"/>
          <w:rtl/>
          <w:lang w:bidi="he-IL"/>
        </w:rPr>
        <w:t>ראשי ענפים</w:t>
      </w:r>
    </w:p>
    <w:p w:rsidR="00B4390D" w:rsidRDefault="00B4390D" w:rsidP="00F71247">
      <w:pPr>
        <w:bidi/>
        <w:jc w:val="both"/>
        <w:rPr>
          <w:rtl/>
          <w:lang w:bidi="he-IL"/>
        </w:rPr>
      </w:pPr>
      <w:r>
        <w:rPr>
          <w:rFonts w:ascii="Arial" w:hAnsi="Arial" w:cs="David" w:hint="cs"/>
          <w:rtl/>
          <w:lang w:bidi="he-IL"/>
        </w:rPr>
        <w:t>ראשי מנהל</w:t>
      </w:r>
    </w:p>
    <w:sectPr w:rsidR="00B4390D" w:rsidSect="001E6073">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82" w:rsidRDefault="00C30882" w:rsidP="00CD3DA3">
      <w:r>
        <w:separator/>
      </w:r>
    </w:p>
  </w:endnote>
  <w:endnote w:type="continuationSeparator" w:id="0">
    <w:p w:rsidR="00C30882" w:rsidRDefault="00C30882" w:rsidP="00CD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82" w:rsidRDefault="00C30882" w:rsidP="00CD3DA3">
      <w:r>
        <w:separator/>
      </w:r>
    </w:p>
  </w:footnote>
  <w:footnote w:type="continuationSeparator" w:id="0">
    <w:p w:rsidR="00C30882" w:rsidRDefault="00C30882" w:rsidP="00CD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A3" w:rsidRDefault="00CD3DA3">
    <w:pPr>
      <w:pStyle w:val="Header"/>
    </w:pPr>
    <w:r>
      <w:rPr>
        <w:rFonts w:hint="eastAsia"/>
        <w:noProof/>
        <w:lang w:eastAsia="en-US" w:bidi="he-IL"/>
      </w:rPr>
      <w:drawing>
        <wp:anchor distT="0" distB="215900" distL="114300" distR="114300" simplePos="0" relativeHeight="251658240" behindDoc="0" locked="0" layoutInCell="1" allowOverlap="1" wp14:anchorId="0285F4D0" wp14:editId="680D7C4B">
          <wp:simplePos x="0" y="0"/>
          <wp:positionH relativeFrom="column">
            <wp:align>center</wp:align>
          </wp:positionH>
          <wp:positionV relativeFrom="paragraph">
            <wp:posOffset>-5080</wp:posOffset>
          </wp:positionV>
          <wp:extent cx="6348730" cy="82867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348730" cy="8290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0AE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8F3225"/>
    <w:multiLevelType w:val="hybridMultilevel"/>
    <w:tmpl w:val="38BA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D27640"/>
    <w:multiLevelType w:val="hybridMultilevel"/>
    <w:tmpl w:val="5D3C46B0"/>
    <w:lvl w:ilvl="0" w:tplc="4DF2C3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0D"/>
    <w:rsid w:val="000649AA"/>
    <w:rsid w:val="000C58FE"/>
    <w:rsid w:val="001604E1"/>
    <w:rsid w:val="00180650"/>
    <w:rsid w:val="001E6073"/>
    <w:rsid w:val="00287B0A"/>
    <w:rsid w:val="003409D9"/>
    <w:rsid w:val="003D1EE6"/>
    <w:rsid w:val="00454755"/>
    <w:rsid w:val="004B7A2D"/>
    <w:rsid w:val="004C36B5"/>
    <w:rsid w:val="00526696"/>
    <w:rsid w:val="0079002D"/>
    <w:rsid w:val="00797936"/>
    <w:rsid w:val="00950C7D"/>
    <w:rsid w:val="00A122B4"/>
    <w:rsid w:val="00A179BA"/>
    <w:rsid w:val="00AF5D7E"/>
    <w:rsid w:val="00B4390D"/>
    <w:rsid w:val="00B862DF"/>
    <w:rsid w:val="00C30882"/>
    <w:rsid w:val="00C74AF8"/>
    <w:rsid w:val="00CD3DA3"/>
    <w:rsid w:val="00D82DCF"/>
    <w:rsid w:val="00DF523C"/>
    <w:rsid w:val="00F712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0D"/>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A3"/>
    <w:pPr>
      <w:tabs>
        <w:tab w:val="center" w:pos="4320"/>
        <w:tab w:val="right" w:pos="8640"/>
      </w:tabs>
    </w:pPr>
  </w:style>
  <w:style w:type="character" w:customStyle="1" w:styleId="HeaderChar">
    <w:name w:val="Header Char"/>
    <w:basedOn w:val="DefaultParagraphFont"/>
    <w:link w:val="Header"/>
    <w:uiPriority w:val="99"/>
    <w:rsid w:val="00CD3DA3"/>
  </w:style>
  <w:style w:type="paragraph" w:styleId="Footer">
    <w:name w:val="footer"/>
    <w:basedOn w:val="Normal"/>
    <w:link w:val="FooterChar"/>
    <w:uiPriority w:val="99"/>
    <w:unhideWhenUsed/>
    <w:rsid w:val="00CD3DA3"/>
    <w:pPr>
      <w:tabs>
        <w:tab w:val="center" w:pos="4320"/>
        <w:tab w:val="right" w:pos="8640"/>
      </w:tabs>
    </w:pPr>
  </w:style>
  <w:style w:type="character" w:customStyle="1" w:styleId="FooterChar">
    <w:name w:val="Footer Char"/>
    <w:basedOn w:val="DefaultParagraphFont"/>
    <w:link w:val="Footer"/>
    <w:uiPriority w:val="99"/>
    <w:rsid w:val="00CD3DA3"/>
  </w:style>
  <w:style w:type="paragraph" w:styleId="BalloonText">
    <w:name w:val="Balloon Text"/>
    <w:basedOn w:val="Normal"/>
    <w:link w:val="BalloonTextChar"/>
    <w:uiPriority w:val="99"/>
    <w:semiHidden/>
    <w:unhideWhenUsed/>
    <w:rsid w:val="00CD3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DA3"/>
    <w:rPr>
      <w:rFonts w:ascii="Lucida Grande" w:hAnsi="Lucida Grande" w:cs="Lucida Grande"/>
      <w:sz w:val="18"/>
      <w:szCs w:val="18"/>
    </w:rPr>
  </w:style>
  <w:style w:type="paragraph" w:styleId="ListParagraph">
    <w:name w:val="List Paragraph"/>
    <w:basedOn w:val="Normal"/>
    <w:uiPriority w:val="34"/>
    <w:qFormat/>
    <w:rsid w:val="00A179BA"/>
    <w:pPr>
      <w:ind w:left="720"/>
    </w:pPr>
    <w:rPr>
      <w:rFonts w:ascii="Calibri" w:eastAsiaTheme="minorHAnsi" w:hAnsi="Calibri" w:cs="Calibri"/>
      <w:sz w:val="22"/>
      <w:szCs w:val="22"/>
      <w:lang w:bidi="he-IL"/>
    </w:rPr>
  </w:style>
  <w:style w:type="character" w:styleId="Hyperlink">
    <w:name w:val="Hyperlink"/>
    <w:basedOn w:val="DefaultParagraphFont"/>
    <w:uiPriority w:val="99"/>
    <w:unhideWhenUsed/>
    <w:rsid w:val="00B4390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0D"/>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A3"/>
    <w:pPr>
      <w:tabs>
        <w:tab w:val="center" w:pos="4320"/>
        <w:tab w:val="right" w:pos="8640"/>
      </w:tabs>
    </w:pPr>
  </w:style>
  <w:style w:type="character" w:customStyle="1" w:styleId="HeaderChar">
    <w:name w:val="Header Char"/>
    <w:basedOn w:val="DefaultParagraphFont"/>
    <w:link w:val="Header"/>
    <w:uiPriority w:val="99"/>
    <w:rsid w:val="00CD3DA3"/>
  </w:style>
  <w:style w:type="paragraph" w:styleId="Footer">
    <w:name w:val="footer"/>
    <w:basedOn w:val="Normal"/>
    <w:link w:val="FooterChar"/>
    <w:uiPriority w:val="99"/>
    <w:unhideWhenUsed/>
    <w:rsid w:val="00CD3DA3"/>
    <w:pPr>
      <w:tabs>
        <w:tab w:val="center" w:pos="4320"/>
        <w:tab w:val="right" w:pos="8640"/>
      </w:tabs>
    </w:pPr>
  </w:style>
  <w:style w:type="character" w:customStyle="1" w:styleId="FooterChar">
    <w:name w:val="Footer Char"/>
    <w:basedOn w:val="DefaultParagraphFont"/>
    <w:link w:val="Footer"/>
    <w:uiPriority w:val="99"/>
    <w:rsid w:val="00CD3DA3"/>
  </w:style>
  <w:style w:type="paragraph" w:styleId="BalloonText">
    <w:name w:val="Balloon Text"/>
    <w:basedOn w:val="Normal"/>
    <w:link w:val="BalloonTextChar"/>
    <w:uiPriority w:val="99"/>
    <w:semiHidden/>
    <w:unhideWhenUsed/>
    <w:rsid w:val="00CD3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DA3"/>
    <w:rPr>
      <w:rFonts w:ascii="Lucida Grande" w:hAnsi="Lucida Grande" w:cs="Lucida Grande"/>
      <w:sz w:val="18"/>
      <w:szCs w:val="18"/>
    </w:rPr>
  </w:style>
  <w:style w:type="paragraph" w:styleId="ListParagraph">
    <w:name w:val="List Paragraph"/>
    <w:basedOn w:val="Normal"/>
    <w:uiPriority w:val="34"/>
    <w:qFormat/>
    <w:rsid w:val="00A179BA"/>
    <w:pPr>
      <w:ind w:left="720"/>
    </w:pPr>
    <w:rPr>
      <w:rFonts w:ascii="Calibri" w:eastAsiaTheme="minorHAnsi" w:hAnsi="Calibri" w:cs="Calibri"/>
      <w:sz w:val="22"/>
      <w:szCs w:val="22"/>
      <w:lang w:bidi="he-IL"/>
    </w:rPr>
  </w:style>
  <w:style w:type="character" w:styleId="Hyperlink">
    <w:name w:val="Hyperlink"/>
    <w:basedOn w:val="DefaultParagraphFont"/>
    <w:uiPriority w:val="99"/>
    <w:unhideWhenUsed/>
    <w:rsid w:val="00B439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8607">
      <w:bodyDiv w:val="1"/>
      <w:marLeft w:val="0"/>
      <w:marRight w:val="0"/>
      <w:marTop w:val="0"/>
      <w:marBottom w:val="0"/>
      <w:divBdr>
        <w:top w:val="none" w:sz="0" w:space="0" w:color="auto"/>
        <w:left w:val="none" w:sz="0" w:space="0" w:color="auto"/>
        <w:bottom w:val="none" w:sz="0" w:space="0" w:color="auto"/>
        <w:right w:val="none" w:sz="0" w:space="0" w:color="auto"/>
      </w:divBdr>
    </w:div>
    <w:div w:id="1848860822">
      <w:bodyDiv w:val="1"/>
      <w:marLeft w:val="0"/>
      <w:marRight w:val="0"/>
      <w:marTop w:val="0"/>
      <w:marBottom w:val="0"/>
      <w:divBdr>
        <w:top w:val="none" w:sz="0" w:space="0" w:color="auto"/>
        <w:left w:val="none" w:sz="0" w:space="0" w:color="auto"/>
        <w:bottom w:val="none" w:sz="0" w:space="0" w:color="auto"/>
        <w:right w:val="none" w:sz="0" w:space="0" w:color="auto"/>
      </w:divBdr>
    </w:div>
    <w:div w:id="2139907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izmann.ac.il/food/he/node/61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ata\Desktop\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48C1-CA09-4D68-9621-A9418D58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new.dotx</Template>
  <TotalTime>0</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 Alfital</dc:creator>
  <cp:lastModifiedBy>Rinat Alfital</cp:lastModifiedBy>
  <cp:revision>2</cp:revision>
  <dcterms:created xsi:type="dcterms:W3CDTF">2016-10-06T12:54:00Z</dcterms:created>
  <dcterms:modified xsi:type="dcterms:W3CDTF">2016-10-06T12:54:00Z</dcterms:modified>
</cp:coreProperties>
</file>